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81"/>
        <w:gridCol w:w="4046"/>
      </w:tblGrid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Тихорецкого района 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27.03.2024 г. № </w:t>
            </w:r>
            <w:r>
              <w:rPr>
                <w:rFonts w:ascii="Times New Roman" w:hAnsi="Times New Roman"/>
                <w:sz w:val="28"/>
                <w:szCs w:val="28"/>
              </w:rPr>
              <w:t>167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«Приложение 1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38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14.12.2023 г. № 156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(в редакции решения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27.03.2024 г.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167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ОБЪЕМ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поступлений доходов в бюджет поселения </w:t>
      </w:r>
      <w:r>
        <w:rPr>
          <w:rFonts w:cs="Times New Roman" w:ascii="Times New Roman" w:hAnsi="Times New Roman"/>
          <w:sz w:val="28"/>
          <w:szCs w:val="28"/>
        </w:rPr>
        <w:t xml:space="preserve">по кодам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видов (подвидов) доходов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(тыс. рублей)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0"/>
        <w:gridCol w:w="5245"/>
        <w:gridCol w:w="1779"/>
      </w:tblGrid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11466,9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2900,0</w:t>
            </w:r>
          </w:p>
        </w:tc>
      </w:tr>
      <w:tr>
        <w:trPr>
          <w:trHeight w:val="2672" w:hRule="atLeast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1 03 02231 01 0000 110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1 03 02241 01 0000 110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1 03 02251 01 0000 110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Доходы от уплаты акцизов на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дизельное топливо, на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1704,9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1165,0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1100,0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Земельный налог*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4230,0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  имущества муниципальных бюджетных и автономных учреждений)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330,0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37,0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5114,6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Безвозмездные поступления от других бюджетов бюджетной системы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5114,6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4756,1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358,5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16581,5»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бюджеты  поселений в соответствии с законодательством Российской Федерации».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Ведущий специалист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О.А. Левченко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52cf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Application>LibreOffice/7.5.5.2$Windows_X86_64 LibreOffice_project/ca8fe7424262805f223b9a2334bc7181abbcbf5e</Application>
  <AppVersion>15.0000</AppVersion>
  <Pages>2</Pages>
  <Words>352</Words>
  <Characters>2093</Characters>
  <CharactersWithSpaces>2453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2023-11-06T09:18:00Z</dcterms:created>
  <dc:creator>user</dc:creator>
  <dc:description/>
  <dc:language>ru-RU</dc:language>
  <cp:lastModifiedBy/>
  <cp:lastPrinted>2024-03-26T15:10:39Z</cp:lastPrinted>
  <dcterms:modified xsi:type="dcterms:W3CDTF">2024-03-26T15:10:43Z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